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25" w:rsidRPr="00790A25" w:rsidRDefault="00790A25" w:rsidP="00790A25">
      <w:pPr>
        <w:spacing w:after="0" w:line="240" w:lineRule="auto"/>
        <w:ind w:left="-1134" w:right="-448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790A25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แผนการประเมินความเสี่ยงการทุจริตประจำปี</w:t>
      </w:r>
    </w:p>
    <w:p w:rsidR="00790A25" w:rsidRPr="00790A25" w:rsidRDefault="00790A25" w:rsidP="00790A25">
      <w:pPr>
        <w:spacing w:after="0" w:line="240" w:lineRule="auto"/>
        <w:ind w:left="-567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90A25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การประเมินความเสี่ยงการทุจริตของ องค์การบริหารส่วนตำบล</w:t>
      </w:r>
      <w:r w:rsidRPr="00790A2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สำโรง</w:t>
      </w:r>
    </w:p>
    <w:p w:rsidR="00790A25" w:rsidRPr="00790A25" w:rsidRDefault="00790A25" w:rsidP="00790A25">
      <w:pPr>
        <w:spacing w:after="0" w:line="240" w:lineRule="auto"/>
        <w:ind w:left="-567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90A25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ประจำปีงบประมาณ พ.ศ.๒๕๖๕</w:t>
      </w:r>
    </w:p>
    <w:tbl>
      <w:tblPr>
        <w:tblStyle w:val="1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4"/>
        <w:gridCol w:w="820"/>
        <w:gridCol w:w="994"/>
        <w:gridCol w:w="951"/>
        <w:gridCol w:w="1130"/>
        <w:gridCol w:w="1486"/>
        <w:gridCol w:w="336"/>
        <w:gridCol w:w="422"/>
        <w:gridCol w:w="348"/>
        <w:gridCol w:w="473"/>
        <w:gridCol w:w="346"/>
        <w:gridCol w:w="422"/>
        <w:gridCol w:w="486"/>
        <w:gridCol w:w="1062"/>
        <w:gridCol w:w="998"/>
      </w:tblGrid>
      <w:tr w:rsidR="00790A25" w:rsidRPr="00790A25" w:rsidTr="00790A25">
        <w:tc>
          <w:tcPr>
            <w:tcW w:w="324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820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4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ประเด็นขั้นตอน/กระบวนการดำเนินงาน</w:t>
            </w:r>
          </w:p>
        </w:tc>
        <w:tc>
          <w:tcPr>
            <w:tcW w:w="951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130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486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การควบคุมระเบียบที่เกี่ยวข้อง</w:t>
            </w:r>
          </w:p>
        </w:tc>
        <w:tc>
          <w:tcPr>
            <w:tcW w:w="2833" w:type="dxa"/>
            <w:gridSpan w:val="7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ประเมินระดับของความเสี่ยง</w:t>
            </w:r>
          </w:p>
        </w:tc>
        <w:tc>
          <w:tcPr>
            <w:tcW w:w="1062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มาตรการป้องกันเพื่อไม่เกิดการทุจริต</w:t>
            </w:r>
          </w:p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ตัวชี้วัดผลสำเร็จ</w:t>
            </w:r>
          </w:p>
        </w:tc>
      </w:tr>
      <w:tr w:rsidR="00790A25" w:rsidRPr="00790A25" w:rsidTr="00790A25">
        <w:trPr>
          <w:cantSplit/>
          <w:trHeight w:val="1134"/>
        </w:trPr>
        <w:tc>
          <w:tcPr>
            <w:tcW w:w="324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951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ไม่มี</w:t>
            </w:r>
          </w:p>
        </w:tc>
        <w:tc>
          <w:tcPr>
            <w:tcW w:w="422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ต่ำ</w:t>
            </w:r>
          </w:p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348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ต่ำ</w:t>
            </w:r>
          </w:p>
        </w:tc>
        <w:tc>
          <w:tcPr>
            <w:tcW w:w="473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กลาง</w:t>
            </w:r>
          </w:p>
        </w:tc>
        <w:tc>
          <w:tcPr>
            <w:tcW w:w="346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สูง</w:t>
            </w:r>
          </w:p>
        </w:tc>
        <w:tc>
          <w:tcPr>
            <w:tcW w:w="422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สูง</w:t>
            </w:r>
          </w:p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486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สูงสุด</w:t>
            </w:r>
          </w:p>
        </w:tc>
        <w:tc>
          <w:tcPr>
            <w:tcW w:w="1062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</w:tr>
      <w:tr w:rsidR="00790A25" w:rsidRPr="00790A25" w:rsidTr="001D6004">
        <w:trPr>
          <w:trHeight w:val="7780"/>
        </w:trPr>
        <w:tc>
          <w:tcPr>
            <w:tcW w:w="324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/>
                <w:sz w:val="28"/>
              </w:rPr>
              <w:t>1</w:t>
            </w:r>
          </w:p>
        </w:tc>
        <w:tc>
          <w:tcPr>
            <w:tcW w:w="820" w:type="dxa"/>
          </w:tcPr>
          <w:p w:rsidR="001D6004" w:rsidRDefault="001D6004" w:rsidP="00790A25">
            <w:pPr>
              <w:rPr>
                <w:rFonts w:ascii="TH SarabunIT๙" w:eastAsia="Calibri" w:hAnsi="TH SarabunIT๙" w:cs="TH SarabunIT๙"/>
                <w:sz w:val="28"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ภารกิจงานการทำแผนที่ภาษีและทะ</w:t>
            </w:r>
          </w:p>
          <w:p w:rsidR="001D6004" w:rsidRDefault="001D6004" w:rsidP="00790A25">
            <w:pPr>
              <w:rPr>
                <w:rFonts w:ascii="TH SarabunIT๙" w:eastAsia="Calibri" w:hAnsi="TH SarabunIT๙" w:cs="TH SarabunIT๙"/>
                <w:sz w:val="28"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เบียนทรัพย์</w:t>
            </w:r>
          </w:p>
          <w:p w:rsidR="00790A25" w:rsidRPr="00790A25" w:rsidRDefault="001D6004" w:rsidP="00790A2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สิน</w:t>
            </w:r>
          </w:p>
        </w:tc>
        <w:tc>
          <w:tcPr>
            <w:tcW w:w="994" w:type="dxa"/>
          </w:tcPr>
          <w:p w:rsidR="00790A25" w:rsidRPr="00790A25" w:rsidRDefault="001D6004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การปรับปรุงแผนที่ภาษีและทะเบียนทรัพย์สินยังไม่เป็นปัจจุบัน</w:t>
            </w:r>
          </w:p>
        </w:tc>
        <w:tc>
          <w:tcPr>
            <w:tcW w:w="951" w:type="dxa"/>
          </w:tcPr>
          <w:p w:rsidR="001D6004" w:rsidRPr="001D6004" w:rsidRDefault="001D6004" w:rsidP="001D6004">
            <w:pPr>
              <w:rPr>
                <w:rFonts w:ascii="TH SarabunIT๙" w:eastAsia="Calibri" w:hAnsi="TH SarabunIT๙" w:cs="TH SarabunIT๙"/>
                <w:sz w:val="28"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แผนที่ภาษีและทะเบียนทรัพย์สินยังปรับปรุงไม่เป็นปัจจุบัน</w:t>
            </w:r>
          </w:p>
          <w:p w:rsidR="00790A25" w:rsidRPr="00790A25" w:rsidRDefault="001D6004" w:rsidP="001D6004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การจัดเก็บรายได้ยังไม่ถึงเป้าหมายที่กำหนด</w:t>
            </w:r>
          </w:p>
        </w:tc>
        <w:tc>
          <w:tcPr>
            <w:tcW w:w="1130" w:type="dxa"/>
          </w:tcPr>
          <w:p w:rsidR="00790A25" w:rsidRPr="00790A25" w:rsidRDefault="001D6004" w:rsidP="00790A25">
            <w:pPr>
              <w:rPr>
                <w:rFonts w:ascii="TH SarabunIT๙" w:eastAsia="Calibri" w:hAnsi="TH SarabunIT๙" w:cs="TH SarabunIT๙"/>
                <w:sz w:val="28"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แผนที่ภาษีและทะเบียนทรัพย์สินยังปรับปรุงไม่เป็นปัจจุบัน</w:t>
            </w:r>
          </w:p>
        </w:tc>
        <w:tc>
          <w:tcPr>
            <w:tcW w:w="1486" w:type="dxa"/>
          </w:tcPr>
          <w:p w:rsidR="00790A25" w:rsidRPr="00790A25" w:rsidRDefault="00790A25" w:rsidP="00790A25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-พระราชบัญญัติภาษีโรงเรือนและที่ดิน พ.ศ.2575</w:t>
            </w:r>
          </w:p>
          <w:p w:rsidR="00790A25" w:rsidRPr="00790A25" w:rsidRDefault="00790A25" w:rsidP="00790A25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-หนังสือกระทรวงมหาด</w:t>
            </w:r>
          </w:p>
          <w:p w:rsidR="00790A25" w:rsidRPr="00790A25" w:rsidRDefault="00790A25" w:rsidP="00790A2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ไทยที่ มท 0808.3 /ว3431 ลงวันที่ 19 ต ค.2552</w:t>
            </w:r>
          </w:p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336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348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73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PSK" w:eastAsia="Calibri" w:hAnsi="TH SarabunPSK" w:cs="TH SarabunPSK" w:hint="cs"/>
                <w:sz w:val="44"/>
                <w:szCs w:val="44"/>
                <w:cs/>
              </w:rPr>
              <w:t xml:space="preserve"> </w:t>
            </w:r>
          </w:p>
        </w:tc>
        <w:tc>
          <w:tcPr>
            <w:tcW w:w="346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790A25" w:rsidRPr="00790A25" w:rsidRDefault="001D6004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1D6004">
              <w:rPr>
                <w:rFonts w:ascii="Times New Roman" w:eastAsia="Calibri" w:hAnsi="Times New Roman" w:cs="Times New Roman"/>
                <w:sz w:val="44"/>
                <w:szCs w:val="44"/>
              </w:rPr>
              <w:t>√</w:t>
            </w:r>
          </w:p>
        </w:tc>
        <w:tc>
          <w:tcPr>
            <w:tcW w:w="486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1062" w:type="dxa"/>
          </w:tcPr>
          <w:p w:rsidR="001D6004" w:rsidRPr="001D6004" w:rsidRDefault="00790A25" w:rsidP="001D6004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/>
                <w:sz w:val="28"/>
              </w:rPr>
              <w:t>1</w:t>
            </w:r>
            <w:r w:rsidR="001D6004" w:rsidRPr="001D6004">
              <w:rPr>
                <w:rFonts w:ascii="TH SarabunIT๙" w:eastAsia="Calibri" w:hAnsi="TH SarabunIT๙" w:cs="TH SarabunIT๙"/>
                <w:sz w:val="28"/>
                <w:cs/>
              </w:rPr>
              <w:t>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:rsidR="00790A25" w:rsidRPr="00790A25" w:rsidRDefault="001D6004" w:rsidP="001D6004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๒.จัดส่งเจ้าหน้าที่เข้ารับการฝึกอบรมเรื่องการแผนที่ภาษีและทะเบียนทรัพย์สิน</w:t>
            </w:r>
          </w:p>
        </w:tc>
        <w:tc>
          <w:tcPr>
            <w:tcW w:w="998" w:type="dxa"/>
          </w:tcPr>
          <w:p w:rsidR="00790A25" w:rsidRPr="00790A25" w:rsidRDefault="001D6004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รายรับที่เพิ่มขึ้น</w:t>
            </w:r>
          </w:p>
        </w:tc>
      </w:tr>
    </w:tbl>
    <w:p w:rsidR="00790A25" w:rsidRDefault="00790A25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  <w:r w:rsidRPr="00790A25">
        <w:rPr>
          <w:rFonts w:ascii="JasmineUPC" w:eastAsia="Calibri" w:hAnsi="JasmineUPC" w:cs="JasmineUPC" w:hint="cs"/>
          <w:sz w:val="32"/>
          <w:szCs w:val="32"/>
          <w:cs/>
        </w:rPr>
        <w:t xml:space="preserve">  </w:t>
      </w: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1540F6" w:rsidRPr="00790A25" w:rsidRDefault="001540F6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p w:rsidR="00790A25" w:rsidRPr="00790A25" w:rsidRDefault="00790A25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tbl>
      <w:tblPr>
        <w:tblStyle w:val="1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4"/>
        <w:gridCol w:w="820"/>
        <w:gridCol w:w="994"/>
        <w:gridCol w:w="951"/>
        <w:gridCol w:w="1130"/>
        <w:gridCol w:w="1486"/>
        <w:gridCol w:w="336"/>
        <w:gridCol w:w="422"/>
        <w:gridCol w:w="348"/>
        <w:gridCol w:w="473"/>
        <w:gridCol w:w="346"/>
        <w:gridCol w:w="422"/>
        <w:gridCol w:w="486"/>
        <w:gridCol w:w="1062"/>
        <w:gridCol w:w="998"/>
      </w:tblGrid>
      <w:tr w:rsidR="001D6004" w:rsidRPr="00790A25" w:rsidTr="00425FF2">
        <w:tc>
          <w:tcPr>
            <w:tcW w:w="324" w:type="dxa"/>
            <w:vMerge w:val="restart"/>
            <w:shd w:val="clear" w:color="auto" w:fill="BFBFBF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820" w:type="dxa"/>
            <w:vMerge w:val="restart"/>
            <w:shd w:val="clear" w:color="auto" w:fill="BFBFBF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4" w:type="dxa"/>
            <w:vMerge w:val="restart"/>
            <w:shd w:val="clear" w:color="auto" w:fill="BFBFBF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ประเด็นขั้นตอน/กระบวนการดำเนินงาน</w:t>
            </w:r>
          </w:p>
        </w:tc>
        <w:tc>
          <w:tcPr>
            <w:tcW w:w="951" w:type="dxa"/>
            <w:vMerge w:val="restart"/>
            <w:shd w:val="clear" w:color="auto" w:fill="BFBFBF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130" w:type="dxa"/>
            <w:vMerge w:val="restart"/>
            <w:shd w:val="clear" w:color="auto" w:fill="BFBFBF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486" w:type="dxa"/>
            <w:vMerge w:val="restart"/>
            <w:shd w:val="clear" w:color="auto" w:fill="BFBFBF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การควบคุมระเบียบที่เกี่ยวข้อง</w:t>
            </w:r>
          </w:p>
        </w:tc>
        <w:tc>
          <w:tcPr>
            <w:tcW w:w="2833" w:type="dxa"/>
            <w:gridSpan w:val="7"/>
            <w:shd w:val="clear" w:color="auto" w:fill="BFBFBF"/>
          </w:tcPr>
          <w:p w:rsidR="001D6004" w:rsidRPr="00790A25" w:rsidRDefault="001D6004" w:rsidP="00D610C0">
            <w:pPr>
              <w:jc w:val="center"/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ประเมินระดับของความเสี่ยง</w:t>
            </w:r>
          </w:p>
        </w:tc>
        <w:tc>
          <w:tcPr>
            <w:tcW w:w="1062" w:type="dxa"/>
            <w:vMerge w:val="restart"/>
            <w:shd w:val="clear" w:color="auto" w:fill="BFBFBF"/>
          </w:tcPr>
          <w:p w:rsidR="001D6004" w:rsidRPr="00790A25" w:rsidRDefault="001D6004" w:rsidP="00425FF2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มาตรการป้องกันเพื่อไม่เกิดการทุจริต</w:t>
            </w:r>
          </w:p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BFBFBF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ตัวชี้วัดผลสำเร็จ</w:t>
            </w:r>
          </w:p>
        </w:tc>
      </w:tr>
      <w:tr w:rsidR="001D6004" w:rsidRPr="00790A25" w:rsidTr="00425FF2">
        <w:trPr>
          <w:cantSplit/>
          <w:trHeight w:val="1134"/>
        </w:trPr>
        <w:tc>
          <w:tcPr>
            <w:tcW w:w="324" w:type="dxa"/>
            <w:vMerge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820" w:type="dxa"/>
            <w:vMerge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994" w:type="dxa"/>
            <w:vMerge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951" w:type="dxa"/>
            <w:vMerge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1130" w:type="dxa"/>
            <w:vMerge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1486" w:type="dxa"/>
            <w:vMerge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336" w:type="dxa"/>
            <w:shd w:val="clear" w:color="auto" w:fill="BFBFBF"/>
            <w:textDirection w:val="btLr"/>
          </w:tcPr>
          <w:p w:rsidR="001D6004" w:rsidRPr="00790A25" w:rsidRDefault="001D6004" w:rsidP="00425FF2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ไม่มี</w:t>
            </w:r>
          </w:p>
        </w:tc>
        <w:tc>
          <w:tcPr>
            <w:tcW w:w="422" w:type="dxa"/>
            <w:shd w:val="clear" w:color="auto" w:fill="BFBFBF"/>
            <w:textDirection w:val="btLr"/>
          </w:tcPr>
          <w:p w:rsidR="001D6004" w:rsidRPr="00790A25" w:rsidRDefault="001D6004" w:rsidP="00425FF2">
            <w:pPr>
              <w:ind w:left="113" w:right="113"/>
              <w:rPr>
                <w:rFonts w:ascii="TH SarabunIT๙" w:eastAsia="Calibri" w:hAnsi="TH SarabunIT๙" w:cs="TH SarabunIT๙"/>
                <w:szCs w:val="22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ต่ำ</w:t>
            </w:r>
          </w:p>
          <w:p w:rsidR="001D6004" w:rsidRPr="00790A25" w:rsidRDefault="001D6004" w:rsidP="00425FF2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มาก</w:t>
            </w:r>
          </w:p>
        </w:tc>
        <w:tc>
          <w:tcPr>
            <w:tcW w:w="348" w:type="dxa"/>
            <w:shd w:val="clear" w:color="auto" w:fill="BFBFBF"/>
            <w:textDirection w:val="btLr"/>
          </w:tcPr>
          <w:p w:rsidR="001D6004" w:rsidRPr="00790A25" w:rsidRDefault="001D6004" w:rsidP="00425FF2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ต่ำ</w:t>
            </w:r>
          </w:p>
        </w:tc>
        <w:tc>
          <w:tcPr>
            <w:tcW w:w="473" w:type="dxa"/>
            <w:shd w:val="clear" w:color="auto" w:fill="BFBFBF"/>
            <w:textDirection w:val="btLr"/>
          </w:tcPr>
          <w:p w:rsidR="001D6004" w:rsidRPr="00790A25" w:rsidRDefault="001D6004" w:rsidP="00425FF2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กลาง</w:t>
            </w:r>
          </w:p>
        </w:tc>
        <w:tc>
          <w:tcPr>
            <w:tcW w:w="346" w:type="dxa"/>
            <w:shd w:val="clear" w:color="auto" w:fill="BFBFBF"/>
            <w:textDirection w:val="btLr"/>
          </w:tcPr>
          <w:p w:rsidR="001D6004" w:rsidRPr="00790A25" w:rsidRDefault="001D6004" w:rsidP="00425FF2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สูง</w:t>
            </w:r>
          </w:p>
        </w:tc>
        <w:tc>
          <w:tcPr>
            <w:tcW w:w="422" w:type="dxa"/>
            <w:shd w:val="clear" w:color="auto" w:fill="BFBFBF"/>
            <w:textDirection w:val="btLr"/>
          </w:tcPr>
          <w:p w:rsidR="001D6004" w:rsidRPr="00790A25" w:rsidRDefault="001D6004" w:rsidP="00425FF2">
            <w:pPr>
              <w:ind w:left="113" w:right="113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สูง</w:t>
            </w:r>
          </w:p>
          <w:p w:rsidR="001D6004" w:rsidRPr="00790A25" w:rsidRDefault="001D6004" w:rsidP="00425FF2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มาก</w:t>
            </w:r>
          </w:p>
        </w:tc>
        <w:tc>
          <w:tcPr>
            <w:tcW w:w="486" w:type="dxa"/>
            <w:shd w:val="clear" w:color="auto" w:fill="BFBFBF"/>
            <w:textDirection w:val="btLr"/>
          </w:tcPr>
          <w:p w:rsidR="001D6004" w:rsidRPr="00790A25" w:rsidRDefault="001D6004" w:rsidP="00425FF2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สูงสุด</w:t>
            </w:r>
          </w:p>
        </w:tc>
        <w:tc>
          <w:tcPr>
            <w:tcW w:w="1062" w:type="dxa"/>
            <w:vMerge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998" w:type="dxa"/>
            <w:vMerge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</w:tr>
      <w:tr w:rsidR="001D6004" w:rsidRPr="00790A25" w:rsidTr="00425FF2">
        <w:tc>
          <w:tcPr>
            <w:tcW w:w="324" w:type="dxa"/>
          </w:tcPr>
          <w:p w:rsidR="001D6004" w:rsidRPr="00790A25" w:rsidRDefault="00863142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>
              <w:rPr>
                <w:rFonts w:ascii="TH SarabunIT๙" w:eastAsia="Calibri" w:hAnsi="TH SarabunIT๙" w:cs="TH SarabunIT๙"/>
                <w:sz w:val="28"/>
              </w:rPr>
              <w:t>2</w:t>
            </w:r>
          </w:p>
        </w:tc>
        <w:tc>
          <w:tcPr>
            <w:tcW w:w="820" w:type="dxa"/>
          </w:tcPr>
          <w:p w:rsidR="00863142" w:rsidRDefault="001D6004" w:rsidP="00425FF2">
            <w:pPr>
              <w:rPr>
                <w:rFonts w:ascii="TH SarabunIT๙" w:eastAsia="Calibri" w:hAnsi="TH SarabunIT๙" w:cs="TH SarabunIT๙"/>
                <w:sz w:val="28"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ภารกิจงานซ่อม</w:t>
            </w:r>
          </w:p>
          <w:p w:rsidR="001D6004" w:rsidRPr="00790A25" w:rsidRDefault="001D6004" w:rsidP="00425FF2">
            <w:pPr>
              <w:rPr>
                <w:rFonts w:ascii="TH SarabunIT๙" w:eastAsia="Calibri" w:hAnsi="TH SarabunIT๙" w:cs="TH SarabunIT๙" w:hint="cs"/>
                <w:sz w:val="28"/>
                <w:cs/>
              </w:rPr>
            </w:pPr>
            <w:r w:rsidRPr="001D6004">
              <w:rPr>
                <w:rFonts w:ascii="TH SarabunIT๙" w:eastAsia="Calibri" w:hAnsi="TH SarabunIT๙" w:cs="TH SarabunIT๙"/>
                <w:sz w:val="28"/>
                <w:cs/>
              </w:rPr>
              <w:t>แซมไฟฟ้าสาธารณะ</w:t>
            </w:r>
          </w:p>
        </w:tc>
        <w:tc>
          <w:tcPr>
            <w:tcW w:w="994" w:type="dxa"/>
          </w:tcPr>
          <w:p w:rsidR="001D6004" w:rsidRPr="00790A25" w:rsidRDefault="001540F6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1540F6">
              <w:rPr>
                <w:rFonts w:ascii="TH SarabunIT๙" w:eastAsia="Calibri" w:hAnsi="TH SarabunIT๙" w:cs="TH SarabunIT๙"/>
                <w:sz w:val="28"/>
                <w:cs/>
              </w:rPr>
              <w:t>ผู้ปฎิบัติหน้าที่ไม่มีตารางการปฏิบัติหน้าที่ชัดเจน</w:t>
            </w:r>
          </w:p>
        </w:tc>
        <w:tc>
          <w:tcPr>
            <w:tcW w:w="951" w:type="dxa"/>
          </w:tcPr>
          <w:p w:rsidR="00735E50" w:rsidRDefault="001540F6" w:rsidP="00425FF2">
            <w:pPr>
              <w:rPr>
                <w:rFonts w:ascii="TH SarabunIT๙" w:eastAsia="Calibri" w:hAnsi="TH SarabunIT๙" w:cs="TH SarabunIT๙"/>
                <w:sz w:val="28"/>
              </w:rPr>
            </w:pPr>
            <w:r w:rsidRPr="001540F6">
              <w:rPr>
                <w:rFonts w:ascii="TH SarabunIT๙" w:eastAsia="Calibri" w:hAnsi="TH SarabunIT๙" w:cs="TH SarabunIT๙"/>
                <w:sz w:val="28"/>
                <w:cs/>
              </w:rPr>
              <w:t>ผู้ปฏิบัติ</w:t>
            </w:r>
          </w:p>
          <w:p w:rsidR="001D6004" w:rsidRPr="00790A25" w:rsidRDefault="001540F6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1540F6">
              <w:rPr>
                <w:rFonts w:ascii="TH SarabunIT๙" w:eastAsia="Calibri" w:hAnsi="TH SarabunIT๙" w:cs="TH SarabunIT๙"/>
                <w:sz w:val="28"/>
                <w:cs/>
              </w:rPr>
              <w:t>งานแก้ไขปัญหาไฟฟ้าสาธารณะที่ชำรุดไม่ได้ตามเป้าหมายที่กำหนด</w:t>
            </w:r>
          </w:p>
        </w:tc>
        <w:tc>
          <w:tcPr>
            <w:tcW w:w="1130" w:type="dxa"/>
          </w:tcPr>
          <w:p w:rsidR="001D6004" w:rsidRPr="00790A25" w:rsidRDefault="001D6004" w:rsidP="00425FF2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เจ้าหน้าที่</w:t>
            </w:r>
          </w:p>
          <w:p w:rsidR="001D6004" w:rsidRPr="00790A25" w:rsidRDefault="001D6004" w:rsidP="00425FF2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ขาดความรู้</w:t>
            </w:r>
          </w:p>
          <w:p w:rsidR="001D6004" w:rsidRPr="00790A25" w:rsidRDefault="001D6004" w:rsidP="00425FF2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ความชำนาญ</w:t>
            </w:r>
          </w:p>
          <w:p w:rsidR="001D6004" w:rsidRPr="00790A25" w:rsidRDefault="00863142" w:rsidP="00425FF2">
            <w:pPr>
              <w:rPr>
                <w:rFonts w:ascii="TH SarabunIT๙" w:eastAsia="Calibri" w:hAnsi="TH SarabunIT๙" w:cs="TH SarabunIT๙" w:hint="cs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ซ่อมแซมไฟฟ้า</w:t>
            </w:r>
          </w:p>
          <w:p w:rsidR="001D6004" w:rsidRPr="00790A25" w:rsidRDefault="001D6004" w:rsidP="00425FF2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ผู้บังคับ</w:t>
            </w:r>
          </w:p>
          <w:p w:rsidR="001D6004" w:rsidRPr="00790A25" w:rsidRDefault="001D6004" w:rsidP="00425FF2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บัญชา ขาดการ</w:t>
            </w:r>
          </w:p>
          <w:p w:rsidR="001D6004" w:rsidRPr="00790A25" w:rsidRDefault="001D6004" w:rsidP="00425FF2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ควบคุมอย่าง</w:t>
            </w:r>
          </w:p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ใกล้ชิด</w:t>
            </w:r>
          </w:p>
        </w:tc>
        <w:tc>
          <w:tcPr>
            <w:tcW w:w="1486" w:type="dxa"/>
          </w:tcPr>
          <w:p w:rsidR="001D6004" w:rsidRPr="00790A25" w:rsidRDefault="001D6004" w:rsidP="00425FF2">
            <w:pPr>
              <w:rPr>
                <w:rFonts w:ascii="Calibri" w:eastAsia="Calibri" w:hAnsi="Calibri" w:cs="Cordia New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พระราชบัญญัติการจัดซื้อจัดจ้างและการบริหารพัสดุภาครัฐ พ.ศ.๒๕๖๐</w:t>
            </w:r>
          </w:p>
          <w:p w:rsidR="001D6004" w:rsidRPr="00790A25" w:rsidRDefault="001D6004" w:rsidP="00425FF2">
            <w:pPr>
              <w:rPr>
                <w:rFonts w:ascii="Calibri" w:eastAsia="Calibri" w:hAnsi="Calibri" w:cs="Cordia New"/>
              </w:rPr>
            </w:pPr>
          </w:p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336" w:type="dxa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348" w:type="dxa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73" w:type="dxa"/>
          </w:tcPr>
          <w:p w:rsidR="001D6004" w:rsidRPr="00790A25" w:rsidRDefault="001D6004" w:rsidP="00425FF2">
            <w:pPr>
              <w:rPr>
                <w:rFonts w:ascii="JasmineUPC" w:eastAsia="Calibri" w:hAnsi="JasmineUPC" w:cs="JasmineUPC" w:hint="cs"/>
                <w:sz w:val="44"/>
                <w:szCs w:val="44"/>
              </w:rPr>
            </w:pPr>
          </w:p>
        </w:tc>
        <w:tc>
          <w:tcPr>
            <w:tcW w:w="346" w:type="dxa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86" w:type="dxa"/>
          </w:tcPr>
          <w:p w:rsidR="001D6004" w:rsidRPr="00790A25" w:rsidRDefault="00D610C0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D610C0">
              <w:rPr>
                <w:rFonts w:ascii="Times New Roman" w:eastAsia="Calibri" w:hAnsi="Times New Roman" w:cs="Times New Roman"/>
                <w:sz w:val="44"/>
                <w:szCs w:val="44"/>
              </w:rPr>
              <w:t>√</w:t>
            </w:r>
          </w:p>
        </w:tc>
        <w:tc>
          <w:tcPr>
            <w:tcW w:w="1062" w:type="dxa"/>
          </w:tcPr>
          <w:p w:rsidR="00D610C0" w:rsidRPr="00D610C0" w:rsidRDefault="00D610C0" w:rsidP="00D610C0">
            <w:pPr>
              <w:rPr>
                <w:rFonts w:ascii="TH SarabunIT๙" w:eastAsia="Calibri" w:hAnsi="TH SarabunIT๙" w:cs="TH SarabunIT๙"/>
                <w:sz w:val="28"/>
              </w:rPr>
            </w:pPr>
            <w:r w:rsidRPr="00D610C0">
              <w:rPr>
                <w:rFonts w:ascii="TH SarabunIT๙" w:eastAsia="Calibri" w:hAnsi="TH SarabunIT๙" w:cs="TH SarabunIT๙"/>
                <w:sz w:val="28"/>
                <w:cs/>
              </w:rPr>
              <w:t>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:rsidR="001D6004" w:rsidRPr="00790A25" w:rsidRDefault="001D6004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998" w:type="dxa"/>
          </w:tcPr>
          <w:p w:rsidR="001D6004" w:rsidRPr="00790A25" w:rsidRDefault="00D610C0" w:rsidP="00425FF2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D610C0">
              <w:rPr>
                <w:rFonts w:ascii="TH SarabunIT๙" w:eastAsia="Calibri" w:hAnsi="TH SarabunIT๙" w:cs="TH SarabunIT๙"/>
                <w:sz w:val="28"/>
                <w:cs/>
              </w:rPr>
              <w:t>มีการร้องเรียนน้อยลง</w:t>
            </w:r>
          </w:p>
        </w:tc>
      </w:tr>
    </w:tbl>
    <w:p w:rsidR="00790A25" w:rsidRPr="00790A25" w:rsidRDefault="00790A25" w:rsidP="00790A25">
      <w:pPr>
        <w:spacing w:after="200" w:line="276" w:lineRule="auto"/>
        <w:rPr>
          <w:rFonts w:ascii="JasmineUPC" w:eastAsia="Calibri" w:hAnsi="JasmineUPC" w:cs="JasmineUPC"/>
          <w:sz w:val="32"/>
          <w:szCs w:val="32"/>
        </w:rPr>
      </w:pPr>
      <w:r w:rsidRPr="00790A25">
        <w:rPr>
          <w:rFonts w:ascii="JasmineUPC" w:eastAsia="Calibri" w:hAnsi="JasmineUPC" w:cs="JasmineUPC"/>
          <w:sz w:val="32"/>
          <w:szCs w:val="32"/>
        </w:rPr>
        <w:br w:type="page"/>
      </w:r>
    </w:p>
    <w:p w:rsidR="00790A25" w:rsidRPr="00790A25" w:rsidRDefault="00790A25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32"/>
          <w:szCs w:val="32"/>
        </w:rPr>
      </w:pPr>
    </w:p>
    <w:tbl>
      <w:tblPr>
        <w:tblStyle w:val="1"/>
        <w:tblW w:w="1059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24"/>
        <w:gridCol w:w="820"/>
        <w:gridCol w:w="994"/>
        <w:gridCol w:w="951"/>
        <w:gridCol w:w="1130"/>
        <w:gridCol w:w="1486"/>
        <w:gridCol w:w="336"/>
        <w:gridCol w:w="422"/>
        <w:gridCol w:w="348"/>
        <w:gridCol w:w="473"/>
        <w:gridCol w:w="346"/>
        <w:gridCol w:w="422"/>
        <w:gridCol w:w="486"/>
        <w:gridCol w:w="1062"/>
        <w:gridCol w:w="998"/>
      </w:tblGrid>
      <w:tr w:rsidR="00790A25" w:rsidRPr="00790A25" w:rsidTr="00790A25">
        <w:tc>
          <w:tcPr>
            <w:tcW w:w="324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820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4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ประเด็นขั้นตอน/กระบวนการดำเนินงาน</w:t>
            </w:r>
          </w:p>
        </w:tc>
        <w:tc>
          <w:tcPr>
            <w:tcW w:w="951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เหตุการณ์ความเสี่ยงที่อาจจะเกิดขึ้น</w:t>
            </w:r>
          </w:p>
        </w:tc>
        <w:tc>
          <w:tcPr>
            <w:tcW w:w="1130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486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การควบคุมระเบียบที่เกี่ยวข้อง</w:t>
            </w:r>
          </w:p>
        </w:tc>
        <w:tc>
          <w:tcPr>
            <w:tcW w:w="2833" w:type="dxa"/>
            <w:gridSpan w:val="7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ประเมินระดับของความเสี่ยง</w:t>
            </w:r>
          </w:p>
        </w:tc>
        <w:tc>
          <w:tcPr>
            <w:tcW w:w="1062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มาตรการป้องกันเพื่อไม่เกิดการทุจริต</w:t>
            </w:r>
          </w:p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</w:p>
        </w:tc>
        <w:tc>
          <w:tcPr>
            <w:tcW w:w="998" w:type="dxa"/>
            <w:vMerge w:val="restart"/>
            <w:shd w:val="clear" w:color="auto" w:fill="BFBFBF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24"/>
                <w:szCs w:val="24"/>
              </w:rPr>
            </w:pPr>
            <w:r w:rsidRPr="00790A25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ตัวชี้วัดผลสำเร็จ</w:t>
            </w:r>
          </w:p>
        </w:tc>
      </w:tr>
      <w:tr w:rsidR="00790A25" w:rsidRPr="00790A25" w:rsidTr="00790A25">
        <w:trPr>
          <w:cantSplit/>
          <w:trHeight w:val="1134"/>
        </w:trPr>
        <w:tc>
          <w:tcPr>
            <w:tcW w:w="324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820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994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951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1130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1486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336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ไม่มี</w:t>
            </w:r>
          </w:p>
        </w:tc>
        <w:tc>
          <w:tcPr>
            <w:tcW w:w="422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TH SarabunIT๙" w:eastAsia="Calibri" w:hAnsi="TH SarabunIT๙" w:cs="TH SarabunIT๙"/>
                <w:szCs w:val="22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ต่ำ</w:t>
            </w:r>
          </w:p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มาก</w:t>
            </w:r>
          </w:p>
        </w:tc>
        <w:tc>
          <w:tcPr>
            <w:tcW w:w="348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ต่ำ</w:t>
            </w:r>
          </w:p>
        </w:tc>
        <w:tc>
          <w:tcPr>
            <w:tcW w:w="473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กลาง</w:t>
            </w:r>
          </w:p>
        </w:tc>
        <w:tc>
          <w:tcPr>
            <w:tcW w:w="346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สูง</w:t>
            </w:r>
          </w:p>
        </w:tc>
        <w:tc>
          <w:tcPr>
            <w:tcW w:w="422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TH SarabunIT๙" w:eastAsia="Calibri" w:hAnsi="TH SarabunIT๙" w:cs="TH SarabunIT๙"/>
                <w:szCs w:val="22"/>
                <w:cs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สูง</w:t>
            </w:r>
          </w:p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มาก</w:t>
            </w:r>
          </w:p>
        </w:tc>
        <w:tc>
          <w:tcPr>
            <w:tcW w:w="486" w:type="dxa"/>
            <w:shd w:val="clear" w:color="auto" w:fill="BFBFBF"/>
            <w:textDirection w:val="btLr"/>
          </w:tcPr>
          <w:p w:rsidR="00790A25" w:rsidRPr="00790A25" w:rsidRDefault="00790A25" w:rsidP="00790A25">
            <w:pPr>
              <w:ind w:left="113" w:right="113"/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 w:hint="cs"/>
                <w:szCs w:val="22"/>
                <w:cs/>
              </w:rPr>
              <w:t>สูงสุด</w:t>
            </w:r>
          </w:p>
        </w:tc>
        <w:tc>
          <w:tcPr>
            <w:tcW w:w="1062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998" w:type="dxa"/>
            <w:vMerge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</w:tr>
      <w:tr w:rsidR="00790A25" w:rsidRPr="00790A25" w:rsidTr="00425FF2">
        <w:tc>
          <w:tcPr>
            <w:tcW w:w="324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/>
                <w:sz w:val="28"/>
              </w:rPr>
              <w:t>3</w:t>
            </w:r>
          </w:p>
        </w:tc>
        <w:tc>
          <w:tcPr>
            <w:tcW w:w="820" w:type="dxa"/>
          </w:tcPr>
          <w:p w:rsidR="00790A25" w:rsidRPr="00790A25" w:rsidRDefault="004821C0" w:rsidP="00790A25">
            <w:pPr>
              <w:rPr>
                <w:rFonts w:ascii="TH SarabunIT๙" w:eastAsia="Calibri" w:hAnsi="TH SarabunIT๙" w:cs="TH SarabunIT๙" w:hint="cs"/>
                <w:sz w:val="28"/>
                <w:cs/>
              </w:rPr>
            </w:pPr>
            <w:r w:rsidRPr="004821C0">
              <w:rPr>
                <w:rFonts w:ascii="TH SarabunIT๙" w:eastAsia="Calibri" w:hAnsi="TH SarabunIT๙" w:cs="TH SarabunIT๙"/>
                <w:sz w:val="28"/>
                <w:cs/>
              </w:rPr>
              <w:t>ภารกิจงานการจัดทำบัญชีโดยระบบคอมพิวเตอร์ขององค์กรปกครองส่วนท้องถิ่น(</w:t>
            </w:r>
            <w:r w:rsidRPr="004821C0">
              <w:rPr>
                <w:rFonts w:ascii="TH SarabunIT๙" w:eastAsia="Calibri" w:hAnsi="TH SarabunIT๙" w:cs="TH SarabunIT๙"/>
                <w:sz w:val="28"/>
              </w:rPr>
              <w:t>e-laas)</w:t>
            </w:r>
          </w:p>
        </w:tc>
        <w:tc>
          <w:tcPr>
            <w:tcW w:w="994" w:type="dxa"/>
          </w:tcPr>
          <w:p w:rsidR="004821C0" w:rsidRDefault="00790A25" w:rsidP="00790A25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มี</w:t>
            </w:r>
            <w:r w:rsidR="004821C0" w:rsidRPr="004821C0">
              <w:rPr>
                <w:rFonts w:ascii="TH SarabunIT๙" w:eastAsia="Calibri" w:hAnsi="TH SarabunIT๙" w:cs="TH SarabunIT๙"/>
                <w:sz w:val="28"/>
                <w:cs/>
              </w:rPr>
              <w:t>เพื่อลดข้อผิด</w:t>
            </w:r>
          </w:p>
          <w:p w:rsidR="00790A25" w:rsidRPr="00790A25" w:rsidRDefault="004821C0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4821C0">
              <w:rPr>
                <w:rFonts w:ascii="TH SarabunIT๙" w:eastAsia="Calibri" w:hAnsi="TH SarabunIT๙" w:cs="TH SarabunIT๙"/>
                <w:sz w:val="28"/>
                <w:cs/>
              </w:rPr>
              <w:t>พลาดในการบันทึกข้อมูลในระบบ(</w:t>
            </w:r>
            <w:r w:rsidRPr="004821C0">
              <w:rPr>
                <w:rFonts w:ascii="TH SarabunIT๙" w:eastAsia="Calibri" w:hAnsi="TH SarabunIT๙" w:cs="TH SarabunIT๙"/>
                <w:sz w:val="28"/>
              </w:rPr>
              <w:t>e-laas)</w:t>
            </w:r>
            <w:r w:rsidRPr="004821C0">
              <w:rPr>
                <w:rFonts w:ascii="TH SarabunIT๙" w:eastAsia="Calibri" w:hAnsi="TH SarabunIT๙" w:cs="TH SarabunIT๙"/>
                <w:sz w:val="28"/>
                <w:cs/>
              </w:rPr>
              <w:t>การรับเงินรายได้ผิดประเภท/แผนงาน/โครงการ</w:t>
            </w:r>
          </w:p>
        </w:tc>
        <w:tc>
          <w:tcPr>
            <w:tcW w:w="951" w:type="dxa"/>
          </w:tcPr>
          <w:p w:rsidR="00790A25" w:rsidRPr="00790A25" w:rsidRDefault="004821C0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4821C0">
              <w:rPr>
                <w:rFonts w:ascii="TH SarabunIT๙" w:eastAsia="Calibri" w:hAnsi="TH SarabunIT๙" w:cs="TH SarabunIT๙"/>
                <w:sz w:val="28"/>
                <w:cs/>
              </w:rPr>
              <w:t>เจ้าหน้าที่ ที่เกี่ยวข้องในการบันทึกข้อมูลในระบบ(</w:t>
            </w:r>
            <w:r w:rsidRPr="004821C0">
              <w:rPr>
                <w:rFonts w:ascii="TH SarabunIT๙" w:eastAsia="Calibri" w:hAnsi="TH SarabunIT๙" w:cs="TH SarabunIT๙"/>
                <w:sz w:val="28"/>
              </w:rPr>
              <w:t>e-laas)</w:t>
            </w:r>
            <w:r w:rsidRPr="004821C0">
              <w:rPr>
                <w:rFonts w:ascii="TH SarabunIT๙" w:eastAsia="Calibri" w:hAnsi="TH SarabunIT๙" w:cs="TH SarabunIT๙"/>
                <w:sz w:val="28"/>
                <w:cs/>
              </w:rPr>
              <w:t>มีความผิดพลาดในเรื่อง การรับเงินรายได้ผิดประเภท/แผนงาน/โครงการ</w:t>
            </w:r>
          </w:p>
        </w:tc>
        <w:tc>
          <w:tcPr>
            <w:tcW w:w="1130" w:type="dxa"/>
          </w:tcPr>
          <w:p w:rsidR="00790A25" w:rsidRPr="00790A25" w:rsidRDefault="00790A25" w:rsidP="00790A25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1.เจ้าหน้าที่</w:t>
            </w:r>
          </w:p>
          <w:p w:rsidR="00790A25" w:rsidRPr="00790A25" w:rsidRDefault="00790A25" w:rsidP="00790A25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ขาดความรู้</w:t>
            </w:r>
          </w:p>
          <w:p w:rsidR="00790A25" w:rsidRPr="00790A25" w:rsidRDefault="00790A25" w:rsidP="00790A25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 w:hint="cs"/>
                <w:sz w:val="28"/>
                <w:cs/>
              </w:rPr>
              <w:t>ความชำนาญ</w:t>
            </w:r>
          </w:p>
          <w:p w:rsidR="00790A25" w:rsidRDefault="004821C0" w:rsidP="00790A25">
            <w:pPr>
              <w:rPr>
                <w:rFonts w:ascii="TH SarabunIT๙" w:eastAsia="Calibri" w:hAnsi="TH SarabunIT๙" w:cs="TH SarabunIT๙" w:hint="cs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ในการบันทึกข้อมูลในระบบ</w:t>
            </w:r>
          </w:p>
          <w:p w:rsidR="004821C0" w:rsidRPr="00790A25" w:rsidRDefault="004821C0" w:rsidP="00790A25">
            <w:pPr>
              <w:rPr>
                <w:rFonts w:ascii="TH SarabunIT๙" w:eastAsia="Calibri" w:hAnsi="TH SarabunIT๙" w:cs="TH SarabunIT๙" w:hint="cs"/>
                <w:sz w:val="28"/>
              </w:rPr>
            </w:pPr>
            <w:r w:rsidRPr="004821C0">
              <w:rPr>
                <w:rFonts w:ascii="TH SarabunIT๙" w:eastAsia="Calibri" w:hAnsi="TH SarabunIT๙" w:cs="TH SarabunIT๙"/>
                <w:sz w:val="28"/>
                <w:cs/>
              </w:rPr>
              <w:t>(</w:t>
            </w:r>
            <w:r w:rsidRPr="004821C0">
              <w:rPr>
                <w:rFonts w:ascii="TH SarabunIT๙" w:eastAsia="Calibri" w:hAnsi="TH SarabunIT๙" w:cs="TH SarabunIT๙"/>
                <w:sz w:val="28"/>
              </w:rPr>
              <w:t>e-laas)</w:t>
            </w:r>
          </w:p>
          <w:p w:rsidR="004821C0" w:rsidRDefault="004821C0" w:rsidP="004821C0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2.มีการปรับปรุงเปลี่ยนแปลงระบบ</w:t>
            </w:r>
          </w:p>
          <w:p w:rsidR="004821C0" w:rsidRPr="004821C0" w:rsidRDefault="004821C0" w:rsidP="004821C0">
            <w:pPr>
              <w:rPr>
                <w:rFonts w:ascii="TH SarabunIT๙" w:eastAsia="Calibri" w:hAnsi="TH SarabunIT๙" w:cs="TH SarabunIT๙" w:hint="cs"/>
                <w:sz w:val="28"/>
                <w:cs/>
              </w:rPr>
            </w:pPr>
            <w:r w:rsidRPr="004821C0">
              <w:rPr>
                <w:rFonts w:ascii="TH SarabunIT๙" w:eastAsia="Calibri" w:hAnsi="TH SarabunIT๙" w:cs="TH SarabunIT๙"/>
                <w:sz w:val="28"/>
              </w:rPr>
              <w:t>(e-laas)</w:t>
            </w:r>
            <w:r>
              <w:rPr>
                <w:rFonts w:ascii="JasmineUPC" w:eastAsia="Calibri" w:hAnsi="JasmineUPC" w:cs="JasmineUPC"/>
                <w:sz w:val="44"/>
                <w:szCs w:val="44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บ่อยทำให้เจ้าหน้าที่มีความผิดพลาดในการบันทึกข้อมูล</w:t>
            </w:r>
          </w:p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1486" w:type="dxa"/>
          </w:tcPr>
          <w:p w:rsidR="00790A25" w:rsidRPr="00790A25" w:rsidRDefault="004821C0" w:rsidP="00790A25">
            <w:pPr>
              <w:rPr>
                <w:rFonts w:ascii="TH SarabunIT๙" w:eastAsia="Calibri" w:hAnsi="TH SarabunIT๙" w:cs="TH SarabunIT๙" w:hint="cs"/>
                <w:cs/>
              </w:rPr>
            </w:pPr>
            <w:r w:rsidRPr="004821C0">
              <w:rPr>
                <w:rFonts w:ascii="TH SarabunIT๙" w:eastAsia="Calibri" w:hAnsi="TH SarabunIT๙" w:cs="TH SarabunIT๙"/>
                <w:cs/>
              </w:rPr>
              <w:t>ระเบียบกระทรวงมหาดไทยว่าด้วยการรับเงิน การเบิกจ่ายเงิน การฝากเงิน</w:t>
            </w:r>
            <w:r>
              <w:rPr>
                <w:rFonts w:ascii="TH SarabunIT๙" w:eastAsia="Calibri" w:hAnsi="TH SarabunIT๙" w:cs="TH SarabunIT๙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cs/>
              </w:rPr>
              <w:t>การเก็บรักษาเงิน และการตรวจเงินขององค์กรปกครองส่วนท้องถิ่น พ.ศ. 2547 และแก้ไขเพิ่มเติมฉบับที่ 4 พ.ศ. 2561</w:t>
            </w:r>
          </w:p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336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348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73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790A25">
              <w:rPr>
                <w:rFonts w:ascii="TH SarabunIT๙" w:eastAsia="Calibri" w:hAnsi="TH SarabunIT๙" w:cs="TH SarabunIT๙"/>
                <w:sz w:val="28"/>
                <w:cs/>
              </w:rPr>
              <w:t>√</w:t>
            </w:r>
          </w:p>
        </w:tc>
        <w:tc>
          <w:tcPr>
            <w:tcW w:w="346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22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486" w:type="dxa"/>
          </w:tcPr>
          <w:p w:rsidR="00790A25" w:rsidRPr="00790A25" w:rsidRDefault="00790A25" w:rsidP="00790A25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</w:p>
        </w:tc>
        <w:tc>
          <w:tcPr>
            <w:tcW w:w="1062" w:type="dxa"/>
          </w:tcPr>
          <w:p w:rsidR="004821C0" w:rsidRPr="004821C0" w:rsidRDefault="00790A25" w:rsidP="004821C0">
            <w:pPr>
              <w:rPr>
                <w:rFonts w:ascii="TH SarabunIT๙" w:eastAsia="Calibri" w:hAnsi="TH SarabunIT๙" w:cs="TH SarabunIT๙"/>
                <w:sz w:val="28"/>
              </w:rPr>
            </w:pPr>
            <w:r w:rsidRPr="00790A25">
              <w:rPr>
                <w:rFonts w:ascii="TH SarabunIT๙" w:eastAsia="Calibri" w:hAnsi="TH SarabunIT๙" w:cs="TH SarabunIT๙"/>
                <w:sz w:val="28"/>
              </w:rPr>
              <w:t>1</w:t>
            </w:r>
            <w:r w:rsidR="004821C0" w:rsidRPr="004821C0">
              <w:rPr>
                <w:rFonts w:ascii="TH SarabunIT๙" w:eastAsia="Calibri" w:hAnsi="TH SarabunIT๙" w:cs="TH SarabunIT๙"/>
                <w:sz w:val="28"/>
                <w:cs/>
              </w:rPr>
              <w:t>.ผู้บังคับบัญชามีการควบคุมและติดตามการทำงานอย่างใกล้ชิดมีการสอบทานและกำชับให้เจ้าหน้าที่ปฏิบัติตามระเบียบอย่างเคร่งครัด</w:t>
            </w:r>
          </w:p>
          <w:p w:rsidR="004821C0" w:rsidRPr="004821C0" w:rsidRDefault="004821C0" w:rsidP="004821C0">
            <w:pPr>
              <w:rPr>
                <w:rFonts w:ascii="TH SarabunIT๙" w:eastAsia="Calibri" w:hAnsi="TH SarabunIT๙" w:cs="TH SarabunIT๙"/>
                <w:sz w:val="28"/>
              </w:rPr>
            </w:pPr>
            <w:r w:rsidRPr="004821C0">
              <w:rPr>
                <w:rFonts w:ascii="TH SarabunIT๙" w:eastAsia="Calibri" w:hAnsi="TH SarabunIT๙" w:cs="TH SarabunIT๙"/>
                <w:sz w:val="28"/>
                <w:cs/>
              </w:rPr>
              <w:t>๒.จัดส่งเจ้าหน้าที่เข้ารับการฝึกอบรมเรื่องการ</w:t>
            </w:r>
          </w:p>
          <w:p w:rsidR="00790A25" w:rsidRPr="00790A25" w:rsidRDefault="004821C0" w:rsidP="004821C0">
            <w:pPr>
              <w:rPr>
                <w:rFonts w:ascii="JasmineUPC" w:eastAsia="Calibri" w:hAnsi="JasmineUPC" w:cs="JasmineUPC"/>
                <w:sz w:val="44"/>
                <w:szCs w:val="44"/>
              </w:rPr>
            </w:pPr>
            <w:r w:rsidRPr="004821C0">
              <w:rPr>
                <w:rFonts w:ascii="TH SarabunIT๙" w:eastAsia="Calibri" w:hAnsi="TH SarabunIT๙" w:cs="TH SarabunIT๙"/>
                <w:sz w:val="28"/>
                <w:cs/>
              </w:rPr>
              <w:t>บันทึกข้อมูลในระบบ(</w:t>
            </w:r>
            <w:r w:rsidRPr="004821C0">
              <w:rPr>
                <w:rFonts w:ascii="TH SarabunIT๙" w:eastAsia="Calibri" w:hAnsi="TH SarabunIT๙" w:cs="TH SarabunIT๙"/>
                <w:sz w:val="28"/>
              </w:rPr>
              <w:t>e-laas)</w:t>
            </w:r>
          </w:p>
        </w:tc>
        <w:tc>
          <w:tcPr>
            <w:tcW w:w="998" w:type="dxa"/>
          </w:tcPr>
          <w:p w:rsidR="00790A25" w:rsidRPr="00790A25" w:rsidRDefault="0099789E" w:rsidP="00790A25">
            <w:pPr>
              <w:rPr>
                <w:rFonts w:ascii="JasmineUPC" w:eastAsia="Calibri" w:hAnsi="JasmineUPC" w:cs="JasmineUPC" w:hint="cs"/>
                <w:sz w:val="44"/>
                <w:szCs w:val="44"/>
                <w:cs/>
              </w:rPr>
            </w:pPr>
            <w:r w:rsidRPr="0099789E">
              <w:rPr>
                <w:rFonts w:ascii="TH SarabunIT๙" w:eastAsia="Calibri" w:hAnsi="TH SarabunIT๙" w:cs="TH SarabunIT๙"/>
                <w:sz w:val="28"/>
                <w:cs/>
              </w:rPr>
              <w:t>การบันทึกข้อมูลที่ถูกต้องครบถ้</w:t>
            </w:r>
            <w:bookmarkStart w:id="0" w:name="_GoBack"/>
            <w:bookmarkEnd w:id="0"/>
            <w:r w:rsidRPr="0099789E">
              <w:rPr>
                <w:rFonts w:ascii="TH SarabunIT๙" w:eastAsia="Calibri" w:hAnsi="TH SarabunIT๙" w:cs="TH SarabunIT๙"/>
                <w:sz w:val="28"/>
                <w:cs/>
              </w:rPr>
              <w:t>วน</w:t>
            </w:r>
          </w:p>
        </w:tc>
      </w:tr>
    </w:tbl>
    <w:p w:rsidR="00790A25" w:rsidRPr="00790A25" w:rsidRDefault="00790A25" w:rsidP="00790A25">
      <w:pPr>
        <w:tabs>
          <w:tab w:val="left" w:pos="6000"/>
        </w:tabs>
        <w:spacing w:after="0" w:line="276" w:lineRule="auto"/>
        <w:ind w:left="-993" w:right="-306"/>
        <w:rPr>
          <w:rFonts w:ascii="JasmineUPC" w:eastAsia="Calibri" w:hAnsi="JasmineUPC" w:cs="JasmineUPC"/>
          <w:sz w:val="44"/>
          <w:szCs w:val="44"/>
        </w:rPr>
      </w:pPr>
      <w:r w:rsidRPr="00790A25">
        <w:rPr>
          <w:rFonts w:ascii="JasmineUPC" w:eastAsia="Calibri" w:hAnsi="JasmineUPC" w:cs="JasmineUPC" w:hint="cs"/>
          <w:sz w:val="44"/>
          <w:szCs w:val="44"/>
          <w:cs/>
        </w:rPr>
        <w:t xml:space="preserve"> </w:t>
      </w:r>
    </w:p>
    <w:p w:rsidR="00790A25" w:rsidRPr="00790A25" w:rsidRDefault="00790A25" w:rsidP="00790A25">
      <w:pPr>
        <w:tabs>
          <w:tab w:val="left" w:pos="6000"/>
        </w:tabs>
        <w:spacing w:after="0" w:line="276" w:lineRule="auto"/>
        <w:ind w:left="-993" w:right="-306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790A25">
        <w:rPr>
          <w:rFonts w:ascii="JasmineUPC" w:eastAsia="Calibri" w:hAnsi="JasmineUPC" w:cs="JasmineUPC" w:hint="cs"/>
          <w:sz w:val="44"/>
          <w:szCs w:val="44"/>
          <w:cs/>
        </w:rPr>
        <w:t xml:space="preserve">   </w:t>
      </w:r>
      <w:r w:rsidRPr="00790A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หน่วยงานผู้ผิดชอบประเมินความเสี่ยง </w:t>
      </w:r>
      <w:r w:rsidRPr="00790A25">
        <w:rPr>
          <w:rFonts w:ascii="TH SarabunIT๙" w:eastAsia="Calibri" w:hAnsi="TH SarabunIT๙" w:cs="TH SarabunIT๙"/>
          <w:sz w:val="32"/>
          <w:szCs w:val="32"/>
        </w:rPr>
        <w:t>:</w:t>
      </w:r>
      <w:r w:rsidRPr="00790A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งานวิเคราะห์นโยบายและแผนปฏิบัติการ</w:t>
      </w:r>
    </w:p>
    <w:p w:rsidR="00790A25" w:rsidRPr="00790A25" w:rsidRDefault="00790A25" w:rsidP="00790A25">
      <w:pPr>
        <w:tabs>
          <w:tab w:val="left" w:pos="6000"/>
        </w:tabs>
        <w:spacing w:after="0" w:line="276" w:lineRule="auto"/>
        <w:ind w:left="-993" w:right="-306"/>
        <w:rPr>
          <w:rFonts w:ascii="TH SarabunIT๙" w:eastAsia="Calibri" w:hAnsi="TH SarabunIT๙" w:cs="TH SarabunIT๙"/>
          <w:sz w:val="32"/>
          <w:szCs w:val="32"/>
          <w:cs/>
        </w:rPr>
      </w:pPr>
      <w:r w:rsidRPr="00790A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ชื่อผู้รายงาน </w:t>
      </w:r>
      <w:r w:rsidRPr="00790A2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790A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นางรุ่งรัตน์   ทางไธสง  </w:t>
      </w:r>
    </w:p>
    <w:p w:rsidR="00790A25" w:rsidRPr="00790A25" w:rsidRDefault="00790A25" w:rsidP="00790A25">
      <w:pPr>
        <w:tabs>
          <w:tab w:val="left" w:pos="6000"/>
        </w:tabs>
        <w:spacing w:after="200" w:line="276" w:lineRule="auto"/>
        <w:ind w:left="-993" w:right="-306"/>
        <w:rPr>
          <w:rFonts w:ascii="TH SarabunIT๙" w:eastAsia="Calibri" w:hAnsi="TH SarabunIT๙" w:cs="TH SarabunIT๙"/>
          <w:sz w:val="32"/>
          <w:szCs w:val="32"/>
          <w:cs/>
        </w:rPr>
      </w:pPr>
      <w:r w:rsidRPr="00790A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ตำแหน่ง </w:t>
      </w:r>
      <w:r w:rsidRPr="00790A25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790A25"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นักวิชาการวิเคราะห์นโยบายและแผน</w:t>
      </w:r>
    </w:p>
    <w:p w:rsidR="00145601" w:rsidRDefault="00145601"/>
    <w:sectPr w:rsidR="00145601" w:rsidSect="007B3E26">
      <w:pgSz w:w="11906" w:h="16838"/>
      <w:pgMar w:top="284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25"/>
    <w:rsid w:val="00145601"/>
    <w:rsid w:val="001540F6"/>
    <w:rsid w:val="001D6004"/>
    <w:rsid w:val="004821C0"/>
    <w:rsid w:val="006E4EB3"/>
    <w:rsid w:val="00735E50"/>
    <w:rsid w:val="00790A25"/>
    <w:rsid w:val="007D63DE"/>
    <w:rsid w:val="00863142"/>
    <w:rsid w:val="00906E99"/>
    <w:rsid w:val="0099789E"/>
    <w:rsid w:val="00D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41505-0D42-4020-B624-A133D7AB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790A2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9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416-56-0043</dc:creator>
  <cp:keywords/>
  <dc:description/>
  <cp:lastModifiedBy>416-56-0043</cp:lastModifiedBy>
  <cp:revision>8</cp:revision>
  <dcterms:created xsi:type="dcterms:W3CDTF">2022-04-27T01:45:00Z</dcterms:created>
  <dcterms:modified xsi:type="dcterms:W3CDTF">2022-04-27T02:28:00Z</dcterms:modified>
</cp:coreProperties>
</file>